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94" w:rsidRPr="00C25C94" w:rsidRDefault="00C25C94" w:rsidP="00C25C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bCs/>
          <w:sz w:val="24"/>
          <w:szCs w:val="24"/>
        </w:rPr>
      </w:pPr>
      <w:bookmarkStart w:id="0" w:name="_GoBack"/>
      <w:r>
        <w:rPr>
          <w:rFonts w:ascii="Liberation Serif" w:hAnsi="Liberation Serif" w:cs="Liberation Serif"/>
          <w:bCs/>
          <w:sz w:val="24"/>
          <w:szCs w:val="24"/>
        </w:rPr>
        <w:t xml:space="preserve">    </w:t>
      </w:r>
      <w:r w:rsidRPr="00C25C94">
        <w:rPr>
          <w:rFonts w:ascii="Liberation Serif" w:hAnsi="Liberation Serif" w:cs="Liberation Serif"/>
          <w:bCs/>
          <w:sz w:val="24"/>
          <w:szCs w:val="24"/>
        </w:rPr>
        <w:t xml:space="preserve">С 1 марта 2023 года лица, управляющие </w:t>
      </w:r>
      <w:proofErr w:type="spellStart"/>
      <w:r w:rsidRPr="00C25C94">
        <w:rPr>
          <w:rFonts w:ascii="Liberation Serif" w:hAnsi="Liberation Serif" w:cs="Liberation Serif"/>
          <w:bCs/>
          <w:sz w:val="24"/>
          <w:szCs w:val="24"/>
        </w:rPr>
        <w:t>электросамокатами</w:t>
      </w:r>
      <w:proofErr w:type="spellEnd"/>
      <w:r w:rsidRPr="00C25C94">
        <w:rPr>
          <w:rFonts w:ascii="Liberation Serif" w:hAnsi="Liberation Serif" w:cs="Liberation Serif"/>
          <w:bCs/>
          <w:sz w:val="24"/>
          <w:szCs w:val="24"/>
        </w:rPr>
        <w:t xml:space="preserve"> и иными средствами индивидуальной мобильности, учтены в ПДД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25C94" w:rsidRPr="00C25C94" w:rsidRDefault="00C25C94" w:rsidP="00C25C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bCs/>
          <w:sz w:val="24"/>
          <w:szCs w:val="24"/>
        </w:rPr>
      </w:pPr>
      <w:r w:rsidRPr="00C25C94">
        <w:rPr>
          <w:rFonts w:ascii="Liberation Serif" w:hAnsi="Liberation Serif" w:cs="Liberation Serif"/>
          <w:bCs/>
          <w:sz w:val="24"/>
          <w:szCs w:val="24"/>
        </w:rPr>
        <w:t>Вводится понятие "средство индивидуальной мобильности"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  <w:r w:rsidRPr="00C25C94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bookmarkEnd w:id="0"/>
    <w:p w:rsidR="00C25C94" w:rsidRDefault="00C25C94" w:rsidP="00C25C94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Liberation Serif"/>
          <w:sz w:val="34"/>
          <w:szCs w:val="34"/>
        </w:rPr>
      </w:pPr>
      <w:r>
        <w:rPr>
          <w:rFonts w:ascii="Liberation Serif" w:hAnsi="Liberation Serif" w:cs="Liberation Serif"/>
          <w:b/>
          <w:bCs/>
          <w:sz w:val="34"/>
          <w:szCs w:val="34"/>
        </w:rPr>
        <w:t>Понятие средств индивидуальной мобильности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Под средством индивидуальной мобильности понимается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>
        <w:rPr>
          <w:rFonts w:ascii="Liberation Serif" w:hAnsi="Liberation Serif" w:cs="Liberation Serif"/>
          <w:sz w:val="24"/>
          <w:szCs w:val="24"/>
        </w:rPr>
        <w:t>электросамокаты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электроскейтборды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гироскутеры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сигвеи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моноколеса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и иные аналогичные средства) (</w:t>
      </w:r>
      <w:hyperlink r:id="rId6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1.2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ПДД).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Самокат представляет собой спортивное оборудование на роликах (колесах), имеющее, в частности, рулевую колонку, которое перемещается мышечной силой пользователя (</w:t>
      </w:r>
      <w:hyperlink r:id="rId7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разд. 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, </w:t>
      </w:r>
      <w:hyperlink r:id="rId8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4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ГОСТ </w:t>
      </w:r>
      <w:proofErr w:type="gramStart"/>
      <w:r>
        <w:rPr>
          <w:rFonts w:ascii="Liberation Serif" w:hAnsi="Liberation Serif" w:cs="Liberation Serif"/>
          <w:sz w:val="24"/>
          <w:szCs w:val="24"/>
        </w:rPr>
        <w:t>Р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58680-2019, утв. и введен в действие </w:t>
      </w:r>
      <w:hyperlink r:id="rId9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Приказом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Росстандарта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от 30.10.2019 N 1229-ст).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Под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электросамокатом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, как правило, понимается самокат, на котором установлены аккумулятор и электродвигатель (электродвигатели), приводящий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электросамокат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в действие.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соответствии с действующим законодательством средства индивидуальной мобильности, в частности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электросамокаты</w:t>
      </w:r>
      <w:proofErr w:type="spellEnd"/>
      <w:r>
        <w:rPr>
          <w:rFonts w:ascii="Liberation Serif" w:hAnsi="Liberation Serif" w:cs="Liberation Serif"/>
          <w:sz w:val="24"/>
          <w:szCs w:val="24"/>
        </w:rPr>
        <w:t>, не относятся к механическим транспортным средствам. По общему правилу на них не распространяются, в частности, требования о государственной регистрации и необходимости получения права на управление ими (</w:t>
      </w:r>
      <w:hyperlink r:id="rId10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Примечание к ст. 12.1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КоАП РФ; </w:t>
      </w:r>
      <w:hyperlink r:id="rId11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Приложение N 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к Техническому регламенту, утв. Решением Комиссии Таможенного союза от 09.12.2011 N 877; </w:t>
      </w:r>
      <w:hyperlink r:id="rId12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1 ст. 25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Закона от 10.12.1995 N 196-ФЗ; </w:t>
      </w:r>
      <w:hyperlink r:id="rId13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ст. 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, </w:t>
      </w:r>
      <w:hyperlink r:id="rId14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7 ст. 4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Закона от 03.08.2018 N 283-ФЗ; </w:t>
      </w:r>
      <w:hyperlink r:id="rId1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1.2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ПДД).</w:t>
      </w:r>
    </w:p>
    <w:p w:rsidR="00C25C94" w:rsidRDefault="00C25C94" w:rsidP="00C25C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4"/>
          <w:szCs w:val="34"/>
        </w:rPr>
      </w:pPr>
    </w:p>
    <w:p w:rsidR="00C25C94" w:rsidRDefault="00C25C94" w:rsidP="00C25C94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Liberation Serif"/>
          <w:sz w:val="34"/>
          <w:szCs w:val="34"/>
        </w:rPr>
      </w:pPr>
      <w:r>
        <w:rPr>
          <w:rFonts w:ascii="Liberation Serif" w:hAnsi="Liberation Serif" w:cs="Liberation Serif"/>
          <w:b/>
          <w:bCs/>
          <w:sz w:val="34"/>
          <w:szCs w:val="34"/>
        </w:rPr>
        <w:t xml:space="preserve">Правила передвижения на </w:t>
      </w:r>
      <w:proofErr w:type="spellStart"/>
      <w:r>
        <w:rPr>
          <w:rFonts w:ascii="Liberation Serif" w:hAnsi="Liberation Serif" w:cs="Liberation Serif"/>
          <w:b/>
          <w:bCs/>
          <w:sz w:val="34"/>
          <w:szCs w:val="34"/>
        </w:rPr>
        <w:t>электросамокатах</w:t>
      </w:r>
      <w:proofErr w:type="spellEnd"/>
      <w:r>
        <w:rPr>
          <w:rFonts w:ascii="Liberation Serif" w:hAnsi="Liberation Serif" w:cs="Liberation Serif"/>
          <w:b/>
          <w:bCs/>
          <w:sz w:val="34"/>
          <w:szCs w:val="34"/>
        </w:rPr>
        <w:t xml:space="preserve"> и других средствах индивидуальной мобильности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Дети младше семи лет могут передвигаться на средстве индивидуальной мобильности только в сопровождении взрослых и только по тротуарам, пешеходным, велосипедным 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велопешеходным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дорожкам (на стороне для движения пешеходов), а также в пределах пешеходных зон (</w:t>
      </w:r>
      <w:hyperlink r:id="rId16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24.4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ПДД).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Лица в возрасте от семи до 14 лет могут передвигаться на средстве индивидуальной мобильности только по тротуарам, пешеходным, велосипедным 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велопешеходным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дорожкам, а также в пределах пешеходных зон (</w:t>
      </w:r>
      <w:hyperlink r:id="rId17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24.3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ПДД).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Лица старше 14 лет могут передвигаться на средстве индивидуальной мобильности по велосипедной,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велопешеходной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дорожкам, проезжей части велосипедной зоны или полосе для велосипедистов (</w:t>
      </w:r>
      <w:hyperlink r:id="rId18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24.1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ПДД).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Допускается движение лиц старше 14 лет на средстве индивидуальной мобильности (</w:t>
      </w:r>
      <w:hyperlink r:id="rId19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24.2(1)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ПДД):</w:t>
      </w:r>
    </w:p>
    <w:p w:rsidR="00C25C94" w:rsidRDefault="00C25C94" w:rsidP="00C25C9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пешеходной зоне - если масса средства индивидуальной мобильности, в том числе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электросамоката</w:t>
      </w:r>
      <w:proofErr w:type="spellEnd"/>
      <w:r>
        <w:rPr>
          <w:rFonts w:ascii="Liberation Serif" w:hAnsi="Liberation Serif" w:cs="Liberation Serif"/>
          <w:sz w:val="24"/>
          <w:szCs w:val="24"/>
        </w:rPr>
        <w:t>, не превышает 35 кг;</w:t>
      </w:r>
    </w:p>
    <w:p w:rsidR="00C25C94" w:rsidRDefault="00C25C94" w:rsidP="00C25C9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тротуару, пешеходной дорожке - если масса средства индивидуальной мобильности не превышает 35 кг и при соблюдении одного из следующих условий:</w:t>
      </w:r>
    </w:p>
    <w:p w:rsidR="00C25C94" w:rsidRDefault="00C25C94" w:rsidP="00C25C94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отсутствуют велосипедная 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велопешеходная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дорожки, полоса для велосипедистов либо отсутствует возможность двигаться по ним;</w:t>
      </w:r>
    </w:p>
    <w:p w:rsidR="00C25C94" w:rsidRDefault="00C25C94" w:rsidP="00C25C94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лицо, использующее для передвижения средство индивидуальной мобильности, сопровождает ребенка в возрасте до 14 лет, использующего для передвижения средство индивидуальной мобильности, или велосипедиста в возрасте до 14 лет;</w:t>
      </w:r>
    </w:p>
    <w:p w:rsidR="00C25C94" w:rsidRDefault="00C25C94" w:rsidP="00C25C9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 обочине - если отсутствуют велосипедная 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велопешеходная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дорожки, полоса для велосипедистов, тротуар, пешеходная дорожка либо отсутствует возможность двигаться по ним;</w:t>
      </w:r>
    </w:p>
    <w:p w:rsidR="00C25C94" w:rsidRDefault="00C25C94" w:rsidP="00C25C9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правому краю проезжей части дороги при соблюдении одновременно следующих условий:</w:t>
      </w:r>
    </w:p>
    <w:p w:rsidR="00C25C94" w:rsidRDefault="00C25C94" w:rsidP="00C25C94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отсутствуют велосипедная 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велопешеходная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C25C94" w:rsidRDefault="00C25C94" w:rsidP="00C25C94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дороге разрешено движение транспортных средств со скоростью не более 60 км/ч, а также движение велосипедов;</w:t>
      </w:r>
    </w:p>
    <w:p w:rsidR="00C25C94" w:rsidRDefault="00C25C94" w:rsidP="00C25C94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средство индивидуальной мобильности оборудовано тормозной системой, звуковым сигналом,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световозвращателями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 наличии светофора при движении по тротуару или пешеходной дорожке лица, использующие для передвижения средства индивидуальной мобильности, должны руководствоваться сигналами светофора в виде силуэта пешехода, а при движении по велосипедной,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велопешеходной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дорожкам, полосе для велосипедистов - сигналами светофора в виде велосипеда (</w:t>
      </w:r>
      <w:hyperlink r:id="rId20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6.5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ПДД).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Движение лиц, использующих для передвижения средства индивидуальной мобильности, по правому краю проезжей части (в случаях, когда это разрешено) должно осуществляться только в один ряд. При этом им запрещаются обгон или объезд с левой стороны транспортного средства (</w:t>
      </w:r>
      <w:hyperlink r:id="rId21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24.5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ПДД).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Движение на средстве индивидуальной мобильности разрешается со скоростью не более 25 км/ч.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Если движение лица, использующего для передвижения средство индивидуальной мобильности, по тротуару, пешеходной дорожке, обочине или в пределах пешеходных зон (включая велосипедные дорожки, находящиеся в пешеходных зонах) подвергает опасности или создает помехи для движения пешеходов, такое лицо должно спешиться или снизить скорость до скорости, не превышающей скорость движения пешеходов. Во всех случаях совмещенного с пешеходами движения лиц, использующих для передвижения средства индивидуальной мобильности, пешеходы имеют приоритет (</w:t>
      </w:r>
      <w:hyperlink r:id="rId22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24.6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ПДД).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 выезде из жилой зоны лица, использующие для передвижения средства индивидуальной мобильности, должны уступить дорогу другим участникам дорожного движения (</w:t>
      </w:r>
      <w:hyperlink r:id="rId23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17.3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ПДД).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 пересечении проезжей части вне перекрестка лица, использующие для передвижения средства индивидуальной мобильности, обязаны уступить дорогу другим участникам дорожного движения, движущимся по ней (</w:t>
      </w:r>
      <w:hyperlink r:id="rId24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24.6(1)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ПДД).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велосипедной зоне лица, использующие для передвижения средства индивидуальной мобильности, могут двигаться по всей ширине проезжей части, предназначенной для движения в данном направлении, с соблюдением требований ПДД (</w:t>
      </w:r>
      <w:hyperlink r:id="rId2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24.11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ПДД).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темное время суток и в условиях недостаточной видимости независимо от освещения дороги, а также в тоннелях на средствах индивидуальной мобильности должны быть включены фары или фонари (</w:t>
      </w:r>
      <w:hyperlink r:id="rId26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19.1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ПДД).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Кроме того, при движении в темное время суток или в условиях недостаточной видимости вне населенных пунктов лица, использующие для передвижения средства индивидуальной мобильности, обязаны иметь при себе предметы со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световозвращающими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элементами и обеспечивать видимость этих предметов водителями других транспортных средств (</w:t>
      </w:r>
      <w:hyperlink r:id="rId27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24.10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ПДД).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случае нарушения ПДД лицо, передвигающееся на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электросамокате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или другом средстве индивидуальной мобильности, может быть привлечено к соответствующей административной ответственности (</w:t>
      </w:r>
      <w:hyperlink r:id="rId28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ст. ст. 12.29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, </w:t>
      </w:r>
      <w:hyperlink r:id="rId29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12.30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КоАП РФ; </w:t>
      </w:r>
      <w:hyperlink r:id="rId30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1.6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ПДД).</w:t>
      </w:r>
    </w:p>
    <w:p w:rsidR="00C25C94" w:rsidRDefault="00C25C94" w:rsidP="00C25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Стоит отметить, что существует позиция, согласно которой при соответствии характеристик средств индивидуальной мобильности, в частности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электросамокатов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, характеристикам мопедов они могут быть отнесены к мопедам. В указанной ситуации на лицо, передвигающееся на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электросамокате</w:t>
      </w:r>
      <w:proofErr w:type="spellEnd"/>
      <w:r>
        <w:rPr>
          <w:rFonts w:ascii="Liberation Serif" w:hAnsi="Liberation Serif" w:cs="Liberation Serif"/>
          <w:sz w:val="24"/>
          <w:szCs w:val="24"/>
        </w:rPr>
        <w:t>, распространяются ПДД, установленные для передвижения на мопедах. В случае нарушения ПДД гражданин может быть привлечен к соответствующей административной ответственности (</w:t>
      </w:r>
      <w:hyperlink r:id="rId31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Примечание к ст. 12.1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КоАП РФ; </w:t>
      </w:r>
      <w:hyperlink r:id="rId32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п. 1.2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, </w:t>
      </w:r>
      <w:hyperlink r:id="rId33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1.6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ПДД; </w:t>
      </w:r>
      <w:hyperlink r:id="rId34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1 ст. 25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Закона N 196-ФЗ; </w:t>
      </w:r>
      <w:hyperlink r:id="rId3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п. 2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Постановления Пленума Верховного Суда РФ от 25.06.2019 N 20; </w:t>
      </w:r>
      <w:hyperlink r:id="rId36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Постановление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Московского городского суда от 29.11.2019 N 4а-7610/2019).</w:t>
      </w:r>
    </w:p>
    <w:p w:rsidR="009F4B4A" w:rsidRDefault="009F4B4A"/>
    <w:sectPr w:rsidR="009F4B4A" w:rsidSect="0058318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94"/>
    <w:rsid w:val="007F5C2B"/>
    <w:rsid w:val="009F4B4A"/>
    <w:rsid w:val="00C2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B7F6F7B64CBC740447A4A4EBCC40F424582032D6246B362BB1A1D4308AF985B9C480446FE060AE62D92E97FF6D9AEE569A9CB68BDCF0tESBJ" TargetMode="External"/><Relationship Id="rId13" Type="http://schemas.openxmlformats.org/officeDocument/2006/relationships/hyperlink" Target="consultantplus://offline/ref=17B7F6F7B64CBC740447A7B1F2CC40F4225A2C34D72F363C23E8ADD63785A692BE8D8C456FE062A960862B82EE3595EB4F8498AC97DEF2EAt1S0J" TargetMode="External"/><Relationship Id="rId18" Type="http://schemas.openxmlformats.org/officeDocument/2006/relationships/hyperlink" Target="consultantplus://offline/ref=17B7F6F7B64CBC740447A7B1F2CC40F4225C2037D726363C23E8ADD63785A692BE8D8C426DE269FD38C92ADEA86786E94C849AA88BtDSFJ" TargetMode="External"/><Relationship Id="rId26" Type="http://schemas.openxmlformats.org/officeDocument/2006/relationships/hyperlink" Target="consultantplus://offline/ref=17B7F6F7B64CBC740447A7B1F2CC40F4225C2037D726363C23E8ADD63785A692BE8D8C456FE061AE6F862B82EE3595EB4F8498AC97DEF2EAt1S0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7B7F6F7B64CBC740447A7B1F2CC40F4225C2037D726363C23E8ADD63785A692BE8D8C426CE669FD38C92ADEA86786E94C849AA88BtDSFJ" TargetMode="External"/><Relationship Id="rId34" Type="http://schemas.openxmlformats.org/officeDocument/2006/relationships/hyperlink" Target="consultantplus://offline/ref=17B7F6F7B64CBC740447A7B1F2CC40F4225A2C34D42E363C23E8ADD63785A692BE8D8C4C6FEB36F82DD872D1AD7E98ED569898AAt8SAJ" TargetMode="External"/><Relationship Id="rId7" Type="http://schemas.openxmlformats.org/officeDocument/2006/relationships/hyperlink" Target="consultantplus://offline/ref=17B7F6F7B64CBC740447A4A4EBCC40F424582032D6246B362BB1A1D4308AF985B9C480446FE063AF62D92E97FF6D9AEE569A9CB68BDCF0tESBJ" TargetMode="External"/><Relationship Id="rId12" Type="http://schemas.openxmlformats.org/officeDocument/2006/relationships/hyperlink" Target="consultantplus://offline/ref=17B7F6F7B64CBC740447A7B1F2CC40F4225A2C34D42E363C23E8ADD63785A692BE8D8C436FEB36F82DD872D1AD7E98ED569898AAt8SAJ" TargetMode="External"/><Relationship Id="rId17" Type="http://schemas.openxmlformats.org/officeDocument/2006/relationships/hyperlink" Target="consultantplus://offline/ref=17B7F6F7B64CBC740447A7B1F2CC40F4225C2037D726363C23E8ADD63785A692BE8D8C426CE369FD38C92ADEA86786E94C849AA88BtDSFJ" TargetMode="External"/><Relationship Id="rId25" Type="http://schemas.openxmlformats.org/officeDocument/2006/relationships/hyperlink" Target="consultantplus://offline/ref=17B7F6F7B64CBC740447A7B1F2CC40F4225C2037D726363C23E8ADD63785A692BE8D8C416FE669FD38C92ADEA86786E94C849AA88BtDSFJ" TargetMode="External"/><Relationship Id="rId33" Type="http://schemas.openxmlformats.org/officeDocument/2006/relationships/hyperlink" Target="consultantplus://offline/ref=17B7F6F7B64CBC740447A7B1F2CC40F4225C2037D726363C23E8ADD63785A692BE8D8C456FE062AF61862B82EE3595EB4F8498AC97DEF2EAt1S0J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7B7F6F7B64CBC740447A7B1F2CC40F4225C2037D726363C23E8ADD63785A692BE8D8C426CE469FD38C92ADEA86786E94C849AA88BtDSFJ" TargetMode="External"/><Relationship Id="rId20" Type="http://schemas.openxmlformats.org/officeDocument/2006/relationships/hyperlink" Target="consultantplus://offline/ref=17B7F6F7B64CBC740447A7B1F2CC40F4225C2037D726363C23E8ADD63785A692BE8D8C4166E469FD38C92ADEA86786E94C849AA88BtDSFJ" TargetMode="External"/><Relationship Id="rId29" Type="http://schemas.openxmlformats.org/officeDocument/2006/relationships/hyperlink" Target="consultantplus://offline/ref=17B7F6F7B64CBC740447A7B1F2CC40F4225A2C34D52A363C23E8ADD63785A692BE8D8C456FE463A960862B82EE3595EB4F8498AC97DEF2EAt1S0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B7F6F7B64CBC740447A7B1F2CC40F4225C2037D726363C23E8ADD63785A692BE8D8C4168E569FD38C92ADEA86786E94C849AA88BtDSFJ" TargetMode="External"/><Relationship Id="rId11" Type="http://schemas.openxmlformats.org/officeDocument/2006/relationships/hyperlink" Target="consultantplus://offline/ref=17B7F6F7B64CBC740447A7B1F2CC40F4225A2834D128363C23E8ADD63785A692BE8D8C456FE067A061862B82EE3595EB4F8498AC97DEF2EAt1S0J" TargetMode="External"/><Relationship Id="rId24" Type="http://schemas.openxmlformats.org/officeDocument/2006/relationships/hyperlink" Target="consultantplus://offline/ref=17B7F6F7B64CBC740447A7B1F2CC40F4225C2037D726363C23E8ADD63785A692BE8D8C426BE069FD38C92ADEA86786E94C849AA88BtDSFJ" TargetMode="External"/><Relationship Id="rId32" Type="http://schemas.openxmlformats.org/officeDocument/2006/relationships/hyperlink" Target="consultantplus://offline/ref=17B7F6F7B64CBC740447A7B1F2CC40F4225C2037D726363C23E8ADD63785A692BE8D8C4666E569FD38C92ADEA86786E94C849AA88BtDSFJ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B7F6F7B64CBC740447A7B1F2CC40F4225C2037D726363C23E8ADD63785A692BE8D8C4169E869FD38C92ADEA86786E94C849AA88BtDSFJ" TargetMode="External"/><Relationship Id="rId23" Type="http://schemas.openxmlformats.org/officeDocument/2006/relationships/hyperlink" Target="consultantplus://offline/ref=17B7F6F7B64CBC740447A7B1F2CC40F4225C2037D726363C23E8ADD63785A692BE8D8C426EE669FD38C92ADEA86786E94C849AA88BtDSFJ" TargetMode="External"/><Relationship Id="rId28" Type="http://schemas.openxmlformats.org/officeDocument/2006/relationships/hyperlink" Target="consultantplus://offline/ref=17B7F6F7B64CBC740447A7B1F2CC40F4225A2C34D52A363C23E8ADD63785A692BE8D8C456FE162AF69862B82EE3595EB4F8498AC97DEF2EAt1S0J" TargetMode="External"/><Relationship Id="rId36" Type="http://schemas.openxmlformats.org/officeDocument/2006/relationships/hyperlink" Target="consultantplus://offline/ref=17B7F6F7B64CBC740447B8BFE6B915A72B5F2A31D6273E6274EAFC833980AEC2F69DD0003AED60AE778D7BCDA8609AtESAJ" TargetMode="External"/><Relationship Id="rId10" Type="http://schemas.openxmlformats.org/officeDocument/2006/relationships/hyperlink" Target="consultantplus://offline/ref=17B7F6F7B64CBC740447A7B1F2CC40F4225A2C34D52A363C23E8ADD63785A692BE8D8C426BE46BA23DDC3B86A7629FF7489E86AA89DEtFS1J" TargetMode="External"/><Relationship Id="rId19" Type="http://schemas.openxmlformats.org/officeDocument/2006/relationships/hyperlink" Target="consultantplus://offline/ref=17B7F6F7B64CBC740447A7B1F2CC40F4225C2037D726363C23E8ADD63785A692BE8D8C426DE369FD38C92ADEA86786E94C849AA88BtDSFJ" TargetMode="External"/><Relationship Id="rId31" Type="http://schemas.openxmlformats.org/officeDocument/2006/relationships/hyperlink" Target="consultantplus://offline/ref=17B7F6F7B64CBC740447A7B1F2CC40F4225A2C34D52A363C23E8ADD63785A692BE8D8C426BE46BA23DDC3B86A7629FF7489E86AA89DEtFS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B7F6F7B64CBC740447A7B1F2CC40F4255A2933DA27363C23E8ADD63785A692BE8D8C456FE062A96F862B82EE3595EB4F8498AC97DEF2EAt1S0J" TargetMode="External"/><Relationship Id="rId14" Type="http://schemas.openxmlformats.org/officeDocument/2006/relationships/hyperlink" Target="consultantplus://offline/ref=17B7F6F7B64CBC740447A7B1F2CC40F4225A2C34D72F363C23E8ADD63785A692BE8D8C456FE062AB6C862B82EE3595EB4F8498AC97DEF2EAt1S0J" TargetMode="External"/><Relationship Id="rId22" Type="http://schemas.openxmlformats.org/officeDocument/2006/relationships/hyperlink" Target="consultantplus://offline/ref=17B7F6F7B64CBC740447A7B1F2CC40F4225C2037D726363C23E8ADD63785A692BE8D8C426CE769FD38C92ADEA86786E94C849AA88BtDSFJ" TargetMode="External"/><Relationship Id="rId27" Type="http://schemas.openxmlformats.org/officeDocument/2006/relationships/hyperlink" Target="consultantplus://offline/ref=17B7F6F7B64CBC740447A7B1F2CC40F4225C2037D726363C23E8ADD63785A692BE8D8C426BE569FD38C92ADEA86786E94C849AA88BtDSFJ" TargetMode="External"/><Relationship Id="rId30" Type="http://schemas.openxmlformats.org/officeDocument/2006/relationships/hyperlink" Target="consultantplus://offline/ref=17B7F6F7B64CBC740447A7B1F2CC40F4225C2037D726363C23E8ADD63785A692BE8D8C456FE062AF61862B82EE3595EB4F8498AC97DEF2EAt1S0J" TargetMode="External"/><Relationship Id="rId35" Type="http://schemas.openxmlformats.org/officeDocument/2006/relationships/hyperlink" Target="consultantplus://offline/ref=17B7F6F7B64CBC740447A7B1F2CC40F4255C2F35D32E363C23E8ADD63785A692BE8D8C456FE062A86D862B82EE3595EB4F8498AC97DEF2EAt1S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2023-04-27T09:18:00Z</dcterms:created>
  <dcterms:modified xsi:type="dcterms:W3CDTF">2023-04-27T09:48:00Z</dcterms:modified>
</cp:coreProperties>
</file>